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3A" w:rsidRPr="0051423A" w:rsidRDefault="00700F94" w:rsidP="00700F94">
      <w:pPr>
        <w:spacing w:after="150" w:line="240" w:lineRule="auto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bookmarkStart w:id="0" w:name="_GoBack"/>
      <w:bookmarkEnd w:id="0"/>
      <w:r w:rsidRPr="00700F9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  <w:lang w:val="cy-GB" w:eastAsia="en-GB"/>
        </w:rPr>
        <w:t xml:space="preserve">Effaith </w:t>
      </w:r>
      <w:proofErr w:type="spellStart"/>
      <w:r w:rsidRPr="00700F9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  <w:lang w:val="cy-GB" w:eastAsia="en-GB"/>
        </w:rPr>
        <w:t xml:space="preserve"> ar Wasanaethau Plant a Theuluoedd</w:t>
      </w:r>
      <w:r w:rsidR="0051423A" w:rsidRPr="00700F9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  <w:lang w:val="en" w:eastAsia="en-GB"/>
        </w:rPr>
        <w:t xml:space="preserve"> </w:t>
      </w:r>
    </w:p>
    <w:p w:rsidR="0051423A" w:rsidRPr="0051423A" w:rsidRDefault="00D91C16" w:rsidP="00700F94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Un ffordd neu’r llall, bydd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 digwydd, 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er 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yr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oedi pellach 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sydd 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wedi 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bod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.</w:t>
      </w:r>
      <w:r w:rsidR="0051423A"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Pwrpas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 papur hwn 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yw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ceisio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crynhoi’r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pryderon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, yr hyn a wyddom</w:t>
      </w:r>
      <w:r w:rsidR="00700F9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 beth yw'r effaith bosibl ar wasanaethau sy'n gwasanaethu plant a phobl ifanc yn y DU.</w:t>
      </w:r>
      <w:r w:rsidR="0051423A"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</w:p>
    <w:p w:rsidR="0051423A" w:rsidRPr="00700F94" w:rsidRDefault="00700F94" w:rsidP="00700F94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Mae’r UE wedi deddfu dros 80 o offerynnau cyfreithiol sy’n rhoi hawl uniongyrchol i blant yn y DU gan gwmpasu materion megis ymfud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o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, lloches, amddiffyn plant, iechyd a diogelwch, meddyginiaeth pediatreg, mynediad at hawliau cymdeithasol ac economaidd a thor-teulu trawsffiniol.</w:t>
      </w:r>
      <w:r w:rsidR="0051423A"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ae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 debygol o gael effaith ar bob un o’r rhain</w:t>
      </w:r>
      <w:r w:rsidR="00EE0E54" w:rsidRP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</w:t>
      </w:r>
      <w:r w:rsidR="00EE0E5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ewn un ffordd neu’r llall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.</w:t>
      </w:r>
    </w:p>
    <w:p w:rsidR="0051423A" w:rsidRPr="00700F94" w:rsidRDefault="00700F94" w:rsidP="00700F94">
      <w:pPr>
        <w:spacing w:after="150" w:line="240" w:lineRule="auto"/>
        <w:rPr>
          <w:rFonts w:ascii="Arial" w:eastAsia="Times New Roman" w:hAnsi="Arial" w:cs="Arial"/>
          <w:spacing w:val="2"/>
          <w:sz w:val="24"/>
          <w:szCs w:val="24"/>
          <w:u w:val="single"/>
          <w:lang w:val="en" w:eastAsia="en-GB"/>
        </w:rPr>
      </w:pPr>
      <w:r w:rsidRPr="00700F9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  <w:lang w:val="cy-GB" w:eastAsia="en-GB"/>
        </w:rPr>
        <w:t>MATERION ALLWEDDOL</w:t>
      </w:r>
    </w:p>
    <w:p w:rsidR="0051423A" w:rsidRPr="00700F94" w:rsidRDefault="00700F94" w:rsidP="00700F94">
      <w:pPr>
        <w:spacing w:after="150" w:line="240" w:lineRule="auto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Effaith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ar statws mewnfudo plant:</w:t>
      </w:r>
    </w:p>
    <w:p w:rsidR="00700F94" w:rsidRPr="00700F94" w:rsidRDefault="00700F94" w:rsidP="00700F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Yn 2016, roedd 679,000 o blant dan 18 oed a oedd yn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wladolion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Ewropeaidd yn byw yn y DU.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 nifer fach ychwanegol o blant o du allan i Ewrop hefyd yn byw yn y DU o dan hawliau a ddarperir iddynt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o dan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gyfraith yr UE.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 cyfran sylweddol o’r plant hyn yn byw yma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am gyfnod hirdymor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: mae oddeutu 258,000 (38%) wedi cael eu geni yn y DU.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Yn aml mae plant sy’n byw yn y DU o dan gyfraith yr UE wedi integreiddio’n dda, yn mynd i’r ysgol, yn gwneud ffrindiau ac yn siarad Saesneg.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Nid oes gan rai plant unrhyw atgof o fyw mewn gwlad arall, nid oes ganddynt berthynas â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th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eulu neu ffrindiau dramor, ac/neu nid oes ganddynt unrhyw gysylltiad ystyrlon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â’u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‘mamwlad’.</w:t>
      </w:r>
    </w:p>
    <w:p w:rsidR="0051423A" w:rsidRPr="0051423A" w:rsidRDefault="0051423A" w:rsidP="0051423A">
      <w:p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</w:p>
    <w:p w:rsidR="00700F94" w:rsidRPr="00700F94" w:rsidRDefault="00700F94" w:rsidP="00700F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Ni ellir gwarantu na fydd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 effeithio ar hawliau presennol plant o dan gyfraith yr UE.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Yn wir, bydd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 cael gwared ar unrhyw fesurau diogelu hawliau plant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sy’n cael eu darparu trwy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Siarter Hawliau Sylfaenol yr UE.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 perygl yn dilyn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yw y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bydd y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llywodraeth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yn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defnyddio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ei b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werau dirprwyedig a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’i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offerynnau statudol i ddiwygio deddfau heb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orfod wynebu proses g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raffu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f</w:t>
      </w:r>
      <w:r w:rsidR="00EE0E5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anwl 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senedd</w:t>
      </w:r>
      <w:r w:rsidR="00EE0E5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– y risg yw bod posibilrwydd y bydd mesurau diogelu hawliau plant sy’n cael eu hymgorffori yng nghyfraith yr UE </w:t>
      </w:r>
      <w:r w:rsidR="00EE0E54"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ar hyn o bryd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yn cael eu difa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trwy'r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'drws cefn'.</w:t>
      </w:r>
    </w:p>
    <w:p w:rsidR="0051423A" w:rsidRPr="0051423A" w:rsidRDefault="0051423A" w:rsidP="005142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</w:p>
    <w:p w:rsidR="00700F94" w:rsidRPr="00700F94" w:rsidRDefault="00700F94" w:rsidP="00700F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Bydd rhai plant wedi caffael hawl i breswyliad parhaol o dan gyfraith yr UE neu yn y broses o gaffael hawl debyg.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Hyd yma, maent wedi gallu ymarfer yr hawliau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hynny mewn modd eithaf anffurfiol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, ac nid yw wedi bod yn ofynnol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iddynt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wneud cais am gerdyn preswylio parhaol.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Felly, mae’n bosibl y bydd rhai o’r plant hynny (a/neu eu teuluoedd) yn cael anhawster profi hyd eu preswyliad cyfreithiol er mwyn dangos eu hawl i breswyliad parhaol.</w:t>
      </w:r>
    </w:p>
    <w:p w:rsidR="0051423A" w:rsidRPr="0051423A" w:rsidRDefault="0051423A" w:rsidP="0051423A">
      <w:p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</w:p>
    <w:p w:rsidR="00700F94" w:rsidRPr="00700F94" w:rsidRDefault="00700F94" w:rsidP="00700F9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Ni fydd y mwyafrif helaeth o blant yn y DU sy’n </w:t>
      </w:r>
      <w:proofErr w:type="spellStart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wladolion</w:t>
      </w:r>
      <w:proofErr w:type="spellEnd"/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o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aelod-wladwriaethau eraill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yn yr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UE wedi cael caniatâd i gael mynediad neu i aros (yn arbennig ni fyddant wedi derbyn caniatâd i aros am gyfnod amhenodol) gan nad oedd angen caniatâd arnynt os oeddent yn ymarfer hawliau’r UE.</w:t>
      </w:r>
    </w:p>
    <w:p w:rsidR="0051423A" w:rsidRPr="0051423A" w:rsidRDefault="0051423A" w:rsidP="0051423A">
      <w:pPr>
        <w:pStyle w:val="ListParagrap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</w:p>
    <w:p w:rsidR="0051423A" w:rsidRPr="0051423A" w:rsidRDefault="0051423A" w:rsidP="0051423A">
      <w:p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</w:p>
    <w:p w:rsidR="00700F94" w:rsidRPr="00A51F97" w:rsidRDefault="00700F94" w:rsidP="00A51F97">
      <w:pPr>
        <w:spacing w:before="100" w:beforeAutospacing="1" w:after="100" w:afterAutospacing="1" w:line="240" w:lineRule="auto"/>
        <w:ind w:left="500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700F94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statws achosion parhaus sy’n cynnwys plant yn aneglur.</w:t>
      </w:r>
      <w:r w:rsidRPr="00700F94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Ni fydd</w:t>
      </w:r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 rheolau sy’n llywodraethu </w:t>
      </w:r>
      <w:proofErr w:type="spellStart"/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gorfodadwyedd</w:t>
      </w:r>
      <w:proofErr w:type="spellEnd"/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unrhyw achos a bennir yn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weithredol</w:t>
      </w:r>
      <w:r w:rsidR="00D2353F" w:rsidRP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r w:rsidR="00D2353F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ar ôl 29 Mawrth 2019</w:t>
      </w:r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, ac mae’r risg 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 bydd</w:t>
      </w:r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achosion cyfochrog yn cael eu cymryd mewn mwy nag un awdurdodaeth yn bosibilrwydd </w:t>
      </w:r>
      <w:proofErr w:type="spellStart"/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cryf</w:t>
      </w:r>
      <w:proofErr w:type="spellEnd"/>
      <w:r w:rsidR="00A51F97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.  </w:t>
      </w:r>
    </w:p>
    <w:p w:rsidR="0051423A" w:rsidRPr="0051423A" w:rsidRDefault="00A51F97" w:rsidP="00A51F97">
      <w:pPr>
        <w:spacing w:after="150" w:line="240" w:lineRule="auto"/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en" w:eastAsia="en-GB"/>
        </w:rPr>
      </w:pPr>
      <w:r w:rsidRPr="00A51F97">
        <w:rPr>
          <w:rFonts w:ascii="Arial" w:eastAsia="Times New Roman" w:hAnsi="Arial" w:cs="Arial"/>
          <w:b/>
          <w:iCs/>
          <w:spacing w:val="2"/>
          <w:sz w:val="24"/>
          <w:szCs w:val="24"/>
          <w:u w:val="single"/>
          <w:lang w:val="cy-GB" w:eastAsia="en-GB"/>
        </w:rPr>
        <w:t xml:space="preserve">Effaith Bosibl </w:t>
      </w:r>
      <w:proofErr w:type="spellStart"/>
      <w:r w:rsidRPr="00A51F97">
        <w:rPr>
          <w:rFonts w:ascii="Arial" w:eastAsia="Times New Roman" w:hAnsi="Arial" w:cs="Arial"/>
          <w:b/>
          <w:iCs/>
          <w:spacing w:val="2"/>
          <w:sz w:val="24"/>
          <w:szCs w:val="24"/>
          <w:u w:val="single"/>
          <w:lang w:val="cy-GB" w:eastAsia="en-GB"/>
        </w:rPr>
        <w:t>Brexit</w:t>
      </w:r>
      <w:proofErr w:type="spellEnd"/>
      <w:r w:rsidRPr="00A51F97">
        <w:rPr>
          <w:rFonts w:ascii="Arial" w:eastAsia="Times New Roman" w:hAnsi="Arial" w:cs="Arial"/>
          <w:b/>
          <w:iCs/>
          <w:spacing w:val="2"/>
          <w:sz w:val="24"/>
          <w:szCs w:val="24"/>
          <w:u w:val="single"/>
          <w:lang w:val="cy-GB" w:eastAsia="en-GB"/>
        </w:rPr>
        <w:t xml:space="preserve"> ar Statws Ymfudiad Plant / Barn Gyfreithiol</w:t>
      </w:r>
      <w:r w:rsidR="0051423A" w:rsidRPr="00A51F97">
        <w:rPr>
          <w:rFonts w:ascii="Arial" w:eastAsia="Times New Roman" w:hAnsi="Arial" w:cs="Arial"/>
          <w:b/>
          <w:iCs/>
          <w:spacing w:val="2"/>
          <w:sz w:val="24"/>
          <w:szCs w:val="24"/>
          <w:u w:val="single"/>
          <w:lang w:val="en" w:eastAsia="en-GB"/>
        </w:rPr>
        <w:t xml:space="preserve"> </w:t>
      </w:r>
    </w:p>
    <w:p w:rsidR="0051423A" w:rsidRPr="00A51F97" w:rsidRDefault="00A51F97" w:rsidP="00A51F97">
      <w:pPr>
        <w:spacing w:after="150" w:line="240" w:lineRule="auto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Effaith bosibl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ar Blant sy’n Derbyn Gofal:</w:t>
      </w:r>
    </w:p>
    <w:p w:rsidR="00A51F97" w:rsidRPr="00A51F97" w:rsidRDefault="00A51F97" w:rsidP="00A51F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Ar hyn o bryd mae 70,440 o blant yn derbyn gofal yn Lloegr, 5,662 yng Nghymru, 15,317 yn yr Alban a 2,983 yng Ngogledd Iwerddon.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Er nad oes gennym unrhyw ddata clir a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genedligrwydd plant mewn gofal, mae’n bosibl bod sawl mil yn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wladolion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o wledydd eraill yr UE.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Ar hyn o bryd mae’r plant hyn yn wynebu ansicrwydd wrth iddyn nhw dyfu’n oedolion felly mae’n hanfodol eu bod yn cael gwybodaeth glir a chymorth cyfreithiol i sicrhau preswyliad hirdymor diogel a hawl cysylltiedig.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Yn yr un modd, bydd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 effeithio ar blant Pryd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einig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sy’n derbyn gofal gan berthnasau mewn aelod-wladwriaeth</w:t>
      </w:r>
      <w:r w:rsidR="00D2353F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au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arall yn yr UE.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Mae’n bosibl na fydd yr opsiwn hwn bellach yn hyfyw os oes ansicrwydd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p’un a fydd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plant neu deuluoedd yn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cael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aros yn y wladwriaeth UE honno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ar ôl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Nid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yw diogelwch plant wedi cael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sylw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haeddiannol ac angenrheidiol yn y ddadl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ynghylch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Brexit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hyd yma.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Ond os bydd e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in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hymadawiad yn arwain at ein diarddel o isadeiledd sy’n amddiffyn a diogelu lles plant </w:t>
      </w:r>
      <w:r w:rsidR="00D81B72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ledled yr UE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,</w:t>
      </w:r>
      <w:r w:rsidR="00D81B72"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bydd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hynny'n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cael effaith ddwys arnynt.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 ein cyfranogiad yn y dyfodol mewn sefydliadau a mecanweithiau megis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Europol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,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Eurojust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a’r Gwarant A</w:t>
      </w:r>
      <w:r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restio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Ewropeaidd, yn y System Gwybodaeth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Schengen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(SIS11), sy’n darparu rhybuddion am blant mewn perygl o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herwgydiad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neu fynd ar goll, a chymhwyso Rheoliad 11 Br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wsel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mewn perthynas â chyfraith teulu, yn edrych yn a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n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sicr dros ben.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 mecanweithiau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megis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Europol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ac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Eurojust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wedi cael eu llunio a’u sefydlu i gefnogi cydlyniad a chydweithio traws-genedlaethol, ac maent yn chwarae rôl allweddol mewn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atal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troseddau yn erbyn plant.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lastRenderedPageBreak/>
        <w:t>Rhwng 2010 a 2016, cafwyd 110 o arestiadau am droseddau rhywiol yn erbyn plant yn y DU o ganlyniad i ddefnyddio'r Gwarant Arestio Ewropeaidd.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Yn yr un cyfnod, cafwyd 831 o geisiadau gan wledydd yr UE i’r DU mewn perthynas â throseddau rhywiol yn erbyn plant, ac o’r rhain, cafodd 108 o arestiadau eu gwneud yn y DU.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Mae’r gallu i gynnal gwiriadau ar y rheiny sydd o bosibl yn gofalu am blant hefyd yn bwysig, gan gynnwys y rheiny sydd o bosibl yn maethu neu fabwysiadu plant.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Mae’n rhaid i ddarpar ofalwyr (llawer ohonynt yn 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wladolion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y tu allan i’r DU) yn gorfod cael gwiriadau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cefndir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troseddol, meddygol a gwasanaethau cymdeithasol llym yn y DU, gan gynnwys gwiriadau o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wledydd eraill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 os yw’r ymgeisydd wedi byw dramor.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gwiriadau cofnodion hefyd yn ofynnol fel rhan o achosion gofal lle mae’n bosibl rhoi plentyn mewn gofal y tu allan i'r DU.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mynediad parhaus at system gwybodaeth cofnodion troseddol canolog (</w:t>
      </w:r>
      <w:proofErr w:type="spellStart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ECRIS</w:t>
      </w:r>
      <w:proofErr w:type="spellEnd"/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) a sefydlwyd gan yr UE hefyd yn bwysig i sicrhau bod darpar gyflogwyr a gwasanaethau cyhoeddus eraill yn gallu cynnal gwiriadau llym ar gofnodion troseddol cyn penodi rhywun i weithio gyda phlant.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dros chwarter y gweithwyr o Aelod-wladwriaethau’r UE yn gweithio yn y sectorau gweinyddu cyhoeddus, addysg ac iechyd yn y wlad hon.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> </w:t>
      </w:r>
      <w:r w:rsidR="0051423A" w:rsidRPr="0051423A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Yn arbennig, mae bron i 10% o feddygon y GIG ac ychydig dros 7% o’r holl nyrsys yn y DU yn dod o Aelod-wladwriaethau eraill yn yr UE.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mwyafrif sylweddol o’r rhain yn gweithio’n uniongyrchol gyda phlant.</w:t>
      </w:r>
      <w:r w:rsidR="0051423A" w:rsidRPr="00A51F97"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  <w:t xml:space="preserve">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Mae angen i ni allu gwirio eu bod yn ddiogel i wneud hynny.</w:t>
      </w:r>
    </w:p>
    <w:p w:rsidR="0051423A" w:rsidRPr="00A51F97" w:rsidRDefault="00A51F97" w:rsidP="00A51F97">
      <w:pPr>
        <w:spacing w:after="15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val="en" w:eastAsia="en-GB"/>
        </w:rPr>
      </w:pP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Cofnodwyd bod 60,000 o blant wedi mynd ar goll yn y DU yn 2015/16, ond mae buddsoddiad yr UE </w:t>
      </w:r>
      <w:r w:rsidR="00D81B72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 xml:space="preserve">mewn </w:t>
      </w:r>
      <w:r w:rsidRPr="00A51F97">
        <w:rPr>
          <w:rFonts w:ascii="Arial" w:eastAsia="Times New Roman" w:hAnsi="Arial" w:cs="Arial"/>
          <w:spacing w:val="2"/>
          <w:sz w:val="24"/>
          <w:szCs w:val="24"/>
          <w:lang w:val="cy-GB" w:eastAsia="en-GB"/>
        </w:rPr>
        <w:t>llinell gymorth plant coll ledled yr UE, yn ogystal â chyllid craidd ar gyfer elusennau plant coll a rhybuddion achub, mewn perygl go iawn o gael eu terfynu.</w:t>
      </w:r>
    </w:p>
    <w:p w:rsidR="00A51473" w:rsidRPr="0051423A" w:rsidRDefault="00A51473">
      <w:pPr>
        <w:rPr>
          <w:rFonts w:ascii="Arial" w:hAnsi="Arial" w:cs="Arial"/>
          <w:sz w:val="24"/>
          <w:szCs w:val="24"/>
        </w:rPr>
      </w:pPr>
    </w:p>
    <w:sectPr w:rsidR="00A51473" w:rsidRPr="00514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A0" w:rsidRDefault="00CB4FA0" w:rsidP="00CB4FA0">
      <w:pPr>
        <w:spacing w:after="0" w:line="240" w:lineRule="auto"/>
      </w:pPr>
      <w:r>
        <w:separator/>
      </w:r>
    </w:p>
  </w:endnote>
  <w:endnote w:type="continuationSeparator" w:id="0">
    <w:p w:rsidR="00CB4FA0" w:rsidRDefault="00CB4FA0" w:rsidP="00C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A0" w:rsidRDefault="00CB4FA0" w:rsidP="00CB4FA0">
      <w:pPr>
        <w:spacing w:after="0" w:line="240" w:lineRule="auto"/>
      </w:pPr>
      <w:r>
        <w:separator/>
      </w:r>
    </w:p>
  </w:footnote>
  <w:footnote w:type="continuationSeparator" w:id="0">
    <w:p w:rsidR="00CB4FA0" w:rsidRDefault="00CB4FA0" w:rsidP="00C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E" w:rsidRDefault="002C1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7036"/>
    <w:multiLevelType w:val="multilevel"/>
    <w:tmpl w:val="3CA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745DA"/>
    <w:multiLevelType w:val="multilevel"/>
    <w:tmpl w:val="130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A"/>
    <w:rsid w:val="002C189E"/>
    <w:rsid w:val="00406E5D"/>
    <w:rsid w:val="00481ECC"/>
    <w:rsid w:val="004C3AA4"/>
    <w:rsid w:val="0051423A"/>
    <w:rsid w:val="00700F94"/>
    <w:rsid w:val="007C6F5A"/>
    <w:rsid w:val="00A51473"/>
    <w:rsid w:val="00A51F97"/>
    <w:rsid w:val="00A52281"/>
    <w:rsid w:val="00CB4FA0"/>
    <w:rsid w:val="00D2353F"/>
    <w:rsid w:val="00D81B72"/>
    <w:rsid w:val="00D91C16"/>
    <w:rsid w:val="00E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AC8F0D2-5D81-4F0F-AF0E-AB06FA3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3A"/>
    <w:pPr>
      <w:ind w:left="720"/>
      <w:contextualSpacing/>
    </w:pPr>
  </w:style>
  <w:style w:type="paragraph" w:customStyle="1" w:styleId="EgressHeaderStyleOfficialLabel">
    <w:name w:val="EgressHeaderStyleOfficialLabel"/>
    <w:basedOn w:val="Normal"/>
    <w:semiHidden/>
    <w:rsid w:val="00CB4FA0"/>
    <w:pPr>
      <w:shd w:val="clear" w:color="auto" w:fill="008C00"/>
      <w:spacing w:after="0" w:line="240" w:lineRule="auto"/>
      <w:jc w:val="right"/>
    </w:pPr>
    <w:rPr>
      <w:rFonts w:ascii="Arial" w:eastAsia="Times New Roman" w:hAnsi="Arial" w:cs="Arial"/>
      <w:bCs/>
      <w:color w:val="000000"/>
      <w:spacing w:val="2"/>
      <w:sz w:val="26"/>
      <w:szCs w:val="24"/>
      <w:lang w:val="en" w:eastAsia="en-GB"/>
    </w:rPr>
  </w:style>
  <w:style w:type="paragraph" w:customStyle="1" w:styleId="EgressFooterStyleOfficialLabel">
    <w:name w:val="EgressFooterStyleOfficialLabel"/>
    <w:basedOn w:val="Normal"/>
    <w:semiHidden/>
    <w:rsid w:val="00CB4FA0"/>
    <w:pPr>
      <w:spacing w:after="0" w:line="240" w:lineRule="auto"/>
      <w:jc w:val="center"/>
    </w:pPr>
    <w:rPr>
      <w:rFonts w:ascii="Calibri" w:eastAsia="Times New Roman" w:hAnsi="Calibri" w:cs="Calibri"/>
      <w:bCs/>
      <w:color w:val="000000"/>
      <w:spacing w:val="2"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2C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9E"/>
  </w:style>
  <w:style w:type="paragraph" w:styleId="Footer">
    <w:name w:val="footer"/>
    <w:basedOn w:val="Normal"/>
    <w:link w:val="FooterChar"/>
    <w:uiPriority w:val="99"/>
    <w:unhideWhenUsed/>
    <w:rsid w:val="002C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5292</Characters>
  <Application>Microsoft Office Word</Application>
  <DocSecurity>0</DocSecurity>
  <Lines>120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Elain Boyns (Cyfieithydd/Translator)</cp:lastModifiedBy>
  <cp:revision>3</cp:revision>
  <dcterms:created xsi:type="dcterms:W3CDTF">2019-05-13T13:55:00Z</dcterms:created>
  <dcterms:modified xsi:type="dcterms:W3CDTF">2019-05-13T13:55:00Z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b62d1b9cc9b6466d8b63f43b8ab017d4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2019-05-08T09:42:56.6795965Z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